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7D" w:rsidRDefault="0024017D" w:rsidP="002401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1899"/>
          <w:sz w:val="28"/>
          <w:szCs w:val="28"/>
        </w:rPr>
      </w:pPr>
      <w:r w:rsidRPr="00AD38AD">
        <w:rPr>
          <w:rFonts w:ascii="Calibri" w:hAnsi="Calibri" w:cs="Calibri"/>
          <w:color w:val="001899"/>
          <w:sz w:val="28"/>
          <w:szCs w:val="28"/>
        </w:rPr>
        <w:t xml:space="preserve">Fiche pratique : </w:t>
      </w:r>
      <w:r>
        <w:rPr>
          <w:rFonts w:ascii="Calibri" w:hAnsi="Calibri" w:cs="Calibri"/>
          <w:color w:val="001899"/>
          <w:sz w:val="28"/>
          <w:szCs w:val="28"/>
        </w:rPr>
        <w:t>Comment gérer les accès à l’Espace Client</w:t>
      </w:r>
    </w:p>
    <w:p w:rsidR="0024017D" w:rsidRDefault="0024017D" w:rsidP="002401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1899"/>
          <w:sz w:val="28"/>
          <w:szCs w:val="28"/>
        </w:rPr>
      </w:pPr>
    </w:p>
    <w:p w:rsidR="0024017D" w:rsidRPr="00485C17" w:rsidRDefault="0024017D" w:rsidP="002401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B00000"/>
        </w:rPr>
      </w:pPr>
      <w:r w:rsidRPr="00485C17">
        <w:rPr>
          <w:rFonts w:ascii="Calibri-Bold" w:hAnsi="Calibri-Bold" w:cs="Calibri-Bold"/>
          <w:b/>
          <w:bCs/>
          <w:color w:val="B00000"/>
        </w:rPr>
        <w:t>Quel est le but de cette fiche ?</w:t>
      </w:r>
    </w:p>
    <w:p w:rsidR="0024017D" w:rsidRPr="00485C17" w:rsidRDefault="0024017D" w:rsidP="0024017D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B00000"/>
        </w:rPr>
      </w:pPr>
    </w:p>
    <w:p w:rsidR="0024017D" w:rsidRDefault="0024017D" w:rsidP="002401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04040"/>
          <w:sz w:val="20"/>
          <w:szCs w:val="20"/>
        </w:rPr>
      </w:pPr>
      <w:r w:rsidRPr="00AD38AD">
        <w:rPr>
          <w:rFonts w:ascii="Calibri" w:hAnsi="Calibri" w:cs="Calibri"/>
          <w:color w:val="404040"/>
          <w:sz w:val="20"/>
          <w:szCs w:val="20"/>
        </w:rPr>
        <w:t xml:space="preserve">Définir </w:t>
      </w:r>
      <w:r>
        <w:rPr>
          <w:rFonts w:ascii="Calibri" w:hAnsi="Calibri" w:cs="Calibri"/>
          <w:color w:val="404040"/>
          <w:sz w:val="20"/>
          <w:szCs w:val="20"/>
        </w:rPr>
        <w:t>les règles d’accès à l’Espace Client et spécifiquement à des personnes autres que le preneur en l’occurrence les personnes mandatées.</w:t>
      </w:r>
    </w:p>
    <w:p w:rsidR="0024017D" w:rsidRPr="00AD38AD" w:rsidRDefault="0024017D" w:rsidP="002401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04040"/>
          <w:sz w:val="20"/>
          <w:szCs w:val="20"/>
        </w:rPr>
      </w:pPr>
    </w:p>
    <w:p w:rsidR="0024017D" w:rsidRPr="00485C17" w:rsidRDefault="0024017D" w:rsidP="002401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B00000"/>
        </w:rPr>
      </w:pPr>
      <w:r w:rsidRPr="00485C17">
        <w:rPr>
          <w:rFonts w:ascii="Calibri-Bold" w:hAnsi="Calibri-Bold" w:cs="Calibri-Bold"/>
          <w:b/>
          <w:bCs/>
          <w:color w:val="B00000"/>
        </w:rPr>
        <w:t>Contexte</w:t>
      </w:r>
    </w:p>
    <w:p w:rsidR="0024017D" w:rsidRDefault="0024017D" w:rsidP="0024017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B00000"/>
        </w:rPr>
      </w:pPr>
    </w:p>
    <w:p w:rsidR="00706111" w:rsidRDefault="0024017D" w:rsidP="0024017D">
      <w:pPr>
        <w:rPr>
          <w:rFonts w:cs="Calibri-Bold"/>
          <w:bCs/>
          <w:sz w:val="20"/>
          <w:szCs w:val="20"/>
        </w:rPr>
      </w:pPr>
      <w:r w:rsidRPr="0000042D">
        <w:rPr>
          <w:rFonts w:cs="Calibri-Bold"/>
          <w:bCs/>
          <w:sz w:val="20"/>
          <w:szCs w:val="20"/>
        </w:rPr>
        <w:t>Si le courtier dispose d’un Espace Client lié directement à son logiciel et que ce dernier fonctionne suiva</w:t>
      </w:r>
      <w:r>
        <w:rPr>
          <w:rFonts w:cs="Calibri-Bold"/>
          <w:bCs/>
          <w:sz w:val="20"/>
          <w:szCs w:val="20"/>
        </w:rPr>
        <w:t xml:space="preserve">nt le mode Consumer Invocation, </w:t>
      </w:r>
      <w:r w:rsidRPr="0000042D">
        <w:rPr>
          <w:rFonts w:cs="Calibri-Bold"/>
          <w:bCs/>
          <w:sz w:val="20"/>
          <w:szCs w:val="20"/>
        </w:rPr>
        <w:t>fonctionnalité</w:t>
      </w:r>
      <w:r>
        <w:rPr>
          <w:rFonts w:cs="Calibri-Bold"/>
          <w:bCs/>
          <w:sz w:val="20"/>
          <w:szCs w:val="20"/>
        </w:rPr>
        <w:t xml:space="preserve"> via </w:t>
      </w:r>
      <w:proofErr w:type="spellStart"/>
      <w:r>
        <w:rPr>
          <w:rFonts w:cs="Calibri-Bold"/>
          <w:bCs/>
          <w:sz w:val="20"/>
          <w:szCs w:val="20"/>
        </w:rPr>
        <w:t>Portima</w:t>
      </w:r>
      <w:proofErr w:type="spellEnd"/>
      <w:r>
        <w:rPr>
          <w:rFonts w:cs="Calibri-Bold"/>
          <w:bCs/>
          <w:sz w:val="20"/>
          <w:szCs w:val="20"/>
        </w:rPr>
        <w:t>,</w:t>
      </w:r>
      <w:r w:rsidRPr="0000042D">
        <w:rPr>
          <w:rFonts w:cs="Calibri-Bold"/>
          <w:bCs/>
          <w:sz w:val="20"/>
          <w:szCs w:val="20"/>
        </w:rPr>
        <w:t xml:space="preserve"> alors la gestion des accès </w:t>
      </w:r>
      <w:r>
        <w:rPr>
          <w:rFonts w:cs="Calibri-Bold"/>
          <w:bCs/>
          <w:sz w:val="20"/>
          <w:szCs w:val="20"/>
        </w:rPr>
        <w:t xml:space="preserve">se fait toujours via </w:t>
      </w:r>
      <w:proofErr w:type="gramStart"/>
      <w:r>
        <w:rPr>
          <w:rFonts w:cs="Calibri-Bold"/>
          <w:bCs/>
          <w:sz w:val="20"/>
          <w:szCs w:val="20"/>
        </w:rPr>
        <w:t xml:space="preserve">le </w:t>
      </w:r>
      <w:r w:rsidRPr="0000042D">
        <w:rPr>
          <w:rFonts w:cs="Calibri-Bold"/>
          <w:bCs/>
          <w:sz w:val="20"/>
          <w:szCs w:val="20"/>
        </w:rPr>
        <w:t xml:space="preserve"> courtier</w:t>
      </w:r>
      <w:proofErr w:type="gramEnd"/>
      <w:r w:rsidRPr="0000042D">
        <w:rPr>
          <w:rFonts w:cs="Calibri-Bold"/>
          <w:bCs/>
          <w:sz w:val="20"/>
          <w:szCs w:val="20"/>
        </w:rPr>
        <w:t xml:space="preserve">. Ce dernier est </w:t>
      </w:r>
      <w:r>
        <w:rPr>
          <w:rFonts w:cs="Calibri-Bold"/>
          <w:bCs/>
          <w:sz w:val="20"/>
          <w:szCs w:val="20"/>
        </w:rPr>
        <w:t xml:space="preserve">donc </w:t>
      </w:r>
      <w:r w:rsidRPr="0000042D">
        <w:rPr>
          <w:rFonts w:cs="Calibri-Bold"/>
          <w:bCs/>
          <w:sz w:val="20"/>
          <w:szCs w:val="20"/>
        </w:rPr>
        <w:t>responsable de</w:t>
      </w:r>
      <w:r>
        <w:rPr>
          <w:rFonts w:cs="Calibri-Bold"/>
          <w:bCs/>
          <w:sz w:val="20"/>
          <w:szCs w:val="20"/>
        </w:rPr>
        <w:t>s accès donnés</w:t>
      </w:r>
      <w:r w:rsidRPr="0000042D">
        <w:rPr>
          <w:rFonts w:cs="Calibri-Bold"/>
          <w:bCs/>
          <w:sz w:val="20"/>
          <w:szCs w:val="20"/>
        </w:rPr>
        <w:t xml:space="preserve"> à ses clients</w:t>
      </w:r>
      <w:r>
        <w:rPr>
          <w:rFonts w:cs="Calibri-Bold"/>
          <w:bCs/>
          <w:sz w:val="20"/>
          <w:szCs w:val="20"/>
        </w:rPr>
        <w:t xml:space="preserve"> et autres personnes mandatées.</w:t>
      </w:r>
    </w:p>
    <w:p w:rsidR="0024017D" w:rsidRDefault="0024017D" w:rsidP="002401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04040"/>
          <w:sz w:val="20"/>
          <w:szCs w:val="20"/>
        </w:rPr>
      </w:pPr>
      <w:r>
        <w:rPr>
          <w:rFonts w:ascii="Calibri" w:hAnsi="Calibri" w:cs="Calibri"/>
          <w:color w:val="404040"/>
          <w:sz w:val="20"/>
          <w:szCs w:val="20"/>
        </w:rPr>
        <w:t>L’accès à l’Espace Client doit se faire sur base d’une demande émanent du preneur du contrat.</w:t>
      </w:r>
    </w:p>
    <w:p w:rsidR="0024017D" w:rsidRDefault="0024017D" w:rsidP="0024017D">
      <w:pPr>
        <w:pStyle w:val="CommentText"/>
        <w:rPr>
          <w:rFonts w:ascii="Calibri" w:hAnsi="Calibri" w:cs="Calibri"/>
          <w:color w:val="404040"/>
        </w:rPr>
      </w:pPr>
      <w:r w:rsidRPr="00111F48">
        <w:rPr>
          <w:rFonts w:ascii="Calibri" w:hAnsi="Calibri" w:cs="Calibri"/>
          <w:color w:val="404040"/>
        </w:rPr>
        <w:t>Cette dem</w:t>
      </w:r>
      <w:r>
        <w:rPr>
          <w:rFonts w:ascii="Calibri" w:hAnsi="Calibri" w:cs="Calibri"/>
          <w:color w:val="404040"/>
        </w:rPr>
        <w:t>a</w:t>
      </w:r>
      <w:r w:rsidRPr="00111F48">
        <w:rPr>
          <w:rFonts w:ascii="Calibri" w:hAnsi="Calibri" w:cs="Calibri"/>
          <w:color w:val="404040"/>
        </w:rPr>
        <w:t>nde devrait toujours se faire de manière écrite afin d’en avoir une trace.</w:t>
      </w:r>
      <w:r>
        <w:rPr>
          <w:rFonts w:ascii="Calibri" w:hAnsi="Calibri" w:cs="Calibri"/>
          <w:color w:val="404040"/>
        </w:rPr>
        <w:t xml:space="preserve"> Que la demande soit</w:t>
      </w:r>
      <w:r w:rsidRPr="00111F48">
        <w:rPr>
          <w:rFonts w:ascii="Calibri" w:hAnsi="Calibri" w:cs="Calibri"/>
          <w:color w:val="404040"/>
        </w:rPr>
        <w:t xml:space="preserve"> faite téléphoniquement</w:t>
      </w:r>
      <w:r>
        <w:rPr>
          <w:rFonts w:ascii="Calibri" w:hAnsi="Calibri" w:cs="Calibri"/>
          <w:color w:val="404040"/>
        </w:rPr>
        <w:t>, en face à face ou via email</w:t>
      </w:r>
      <w:r w:rsidRPr="00111F48">
        <w:rPr>
          <w:rFonts w:ascii="Calibri" w:hAnsi="Calibri" w:cs="Calibri"/>
          <w:color w:val="404040"/>
        </w:rPr>
        <w:t xml:space="preserve">, le courtier doit </w:t>
      </w:r>
      <w:r>
        <w:rPr>
          <w:rFonts w:ascii="Calibri" w:hAnsi="Calibri" w:cs="Calibri"/>
          <w:color w:val="404040"/>
        </w:rPr>
        <w:t>toujours faire remplir</w:t>
      </w:r>
      <w:r w:rsidRPr="00111F48">
        <w:rPr>
          <w:rFonts w:ascii="Calibri" w:hAnsi="Calibri" w:cs="Calibri"/>
          <w:color w:val="404040"/>
        </w:rPr>
        <w:t xml:space="preserve"> un formulaire de demande d’accès par son client</w:t>
      </w:r>
      <w:r>
        <w:rPr>
          <w:rFonts w:ascii="Calibri" w:hAnsi="Calibri" w:cs="Calibri"/>
          <w:color w:val="404040"/>
        </w:rPr>
        <w:t>. Le</w:t>
      </w:r>
      <w:r w:rsidR="003C4F9A">
        <w:rPr>
          <w:rFonts w:ascii="Calibri" w:hAnsi="Calibri" w:cs="Calibri"/>
          <w:color w:val="404040"/>
        </w:rPr>
        <w:t xml:space="preserve"> </w:t>
      </w:r>
      <w:r>
        <w:t xml:space="preserve">formulaire doit être signé par une signature qualifiée (ou avancée) de type </w:t>
      </w:r>
      <w:proofErr w:type="spellStart"/>
      <w:r>
        <w:t>Portisign</w:t>
      </w:r>
      <w:proofErr w:type="spellEnd"/>
      <w:r>
        <w:t xml:space="preserve">, </w:t>
      </w:r>
      <w:proofErr w:type="spellStart"/>
      <w:r>
        <w:t>eid</w:t>
      </w:r>
      <w:proofErr w:type="spellEnd"/>
      <w:r>
        <w:t xml:space="preserve"> ou manuscrite. </w:t>
      </w:r>
    </w:p>
    <w:p w:rsidR="0024017D" w:rsidRDefault="0024017D" w:rsidP="0024017D">
      <w:pPr>
        <w:rPr>
          <w:rFonts w:ascii="Calibri" w:hAnsi="Calibri" w:cs="Calibri"/>
          <w:color w:val="404040"/>
          <w:sz w:val="20"/>
          <w:szCs w:val="20"/>
        </w:rPr>
      </w:pPr>
      <w:r>
        <w:rPr>
          <w:rFonts w:ascii="Calibri" w:hAnsi="Calibri" w:cs="Calibri"/>
          <w:color w:val="404040"/>
          <w:sz w:val="20"/>
          <w:szCs w:val="20"/>
        </w:rPr>
        <w:t>La demande de l’accès peut se faire pour le client lui-même ou pour une autre personne à qui il donne mandat.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C4F9A" w:rsidTr="002C48B5">
        <w:trPr>
          <w:trHeight w:hRule="exact" w:val="284"/>
        </w:trPr>
        <w:tc>
          <w:tcPr>
            <w:tcW w:w="2337" w:type="dxa"/>
            <w:shd w:val="clear" w:color="auto" w:fill="00B0F0"/>
          </w:tcPr>
          <w:p w:rsidR="003C4F9A" w:rsidRDefault="003C4F9A" w:rsidP="0024017D">
            <w:r>
              <w:t>Type</w:t>
            </w:r>
          </w:p>
        </w:tc>
        <w:tc>
          <w:tcPr>
            <w:tcW w:w="2337" w:type="dxa"/>
            <w:shd w:val="clear" w:color="auto" w:fill="00B0F0"/>
          </w:tcPr>
          <w:p w:rsidR="003C4F9A" w:rsidRDefault="003C4F9A" w:rsidP="0024017D">
            <w:r>
              <w:t>Demandeur</w:t>
            </w:r>
          </w:p>
        </w:tc>
        <w:tc>
          <w:tcPr>
            <w:tcW w:w="2338" w:type="dxa"/>
            <w:shd w:val="clear" w:color="auto" w:fill="00B0F0"/>
          </w:tcPr>
          <w:p w:rsidR="003C4F9A" w:rsidRDefault="003C4F9A" w:rsidP="0024017D">
            <w:r>
              <w:t>Formulaire Mandat</w:t>
            </w:r>
          </w:p>
        </w:tc>
        <w:tc>
          <w:tcPr>
            <w:tcW w:w="2338" w:type="dxa"/>
            <w:shd w:val="clear" w:color="auto" w:fill="00B0F0"/>
          </w:tcPr>
          <w:p w:rsidR="003C4F9A" w:rsidRDefault="003C4F9A" w:rsidP="0024017D">
            <w:r>
              <w:t>Contrats à voir</w:t>
            </w:r>
          </w:p>
        </w:tc>
      </w:tr>
      <w:tr w:rsidR="003C4F9A" w:rsidTr="002C48B5">
        <w:trPr>
          <w:trHeight w:hRule="exact" w:val="284"/>
        </w:trPr>
        <w:tc>
          <w:tcPr>
            <w:tcW w:w="2337" w:type="dxa"/>
          </w:tcPr>
          <w:p w:rsidR="003C4F9A" w:rsidRDefault="003C4F9A" w:rsidP="0024017D">
            <w:r>
              <w:t>Personne physique</w:t>
            </w:r>
          </w:p>
        </w:tc>
        <w:tc>
          <w:tcPr>
            <w:tcW w:w="2337" w:type="dxa"/>
          </w:tcPr>
          <w:p w:rsidR="003C4F9A" w:rsidRDefault="003C4F9A" w:rsidP="0024017D">
            <w:proofErr w:type="spellStart"/>
            <w:r w:rsidRPr="005778C8">
              <w:rPr>
                <w:strike/>
              </w:rPr>
              <w:t>Assuré</w:t>
            </w:r>
            <w:r w:rsidR="005778C8">
              <w:t>Preneur</w:t>
            </w:r>
            <w:proofErr w:type="spellEnd"/>
          </w:p>
        </w:tc>
        <w:tc>
          <w:tcPr>
            <w:tcW w:w="2338" w:type="dxa"/>
          </w:tcPr>
          <w:p w:rsidR="003C4F9A" w:rsidRDefault="003C4F9A" w:rsidP="0024017D">
            <w:r>
              <w:t>Non</w:t>
            </w:r>
          </w:p>
        </w:tc>
        <w:tc>
          <w:tcPr>
            <w:tcW w:w="2338" w:type="dxa"/>
          </w:tcPr>
          <w:p w:rsidR="003C4F9A" w:rsidRDefault="003C4F9A" w:rsidP="003C4F9A">
            <w:r>
              <w:t>Tous</w:t>
            </w:r>
          </w:p>
        </w:tc>
      </w:tr>
      <w:tr w:rsidR="005778C8" w:rsidTr="002C48B5">
        <w:trPr>
          <w:trHeight w:hRule="exact" w:val="284"/>
        </w:trPr>
        <w:tc>
          <w:tcPr>
            <w:tcW w:w="2337" w:type="dxa"/>
          </w:tcPr>
          <w:p w:rsidR="005778C8" w:rsidRDefault="005778C8" w:rsidP="0024017D">
            <w:r>
              <w:t>Personne physique</w:t>
            </w:r>
          </w:p>
        </w:tc>
        <w:tc>
          <w:tcPr>
            <w:tcW w:w="2337" w:type="dxa"/>
          </w:tcPr>
          <w:p w:rsidR="005778C8" w:rsidRPr="005778C8" w:rsidRDefault="005778C8" w:rsidP="0024017D">
            <w:r w:rsidRPr="005778C8">
              <w:t>Assuré</w:t>
            </w:r>
          </w:p>
        </w:tc>
        <w:tc>
          <w:tcPr>
            <w:tcW w:w="2338" w:type="dxa"/>
          </w:tcPr>
          <w:p w:rsidR="005778C8" w:rsidRDefault="005778C8" w:rsidP="0024017D"/>
        </w:tc>
        <w:tc>
          <w:tcPr>
            <w:tcW w:w="2338" w:type="dxa"/>
          </w:tcPr>
          <w:p w:rsidR="005778C8" w:rsidRDefault="005778C8" w:rsidP="003C4F9A"/>
        </w:tc>
      </w:tr>
      <w:tr w:rsidR="003C4F9A" w:rsidTr="002C48B5">
        <w:trPr>
          <w:trHeight w:hRule="exact" w:val="284"/>
        </w:trPr>
        <w:tc>
          <w:tcPr>
            <w:tcW w:w="2337" w:type="dxa"/>
          </w:tcPr>
          <w:p w:rsidR="003C4F9A" w:rsidRDefault="003C4F9A" w:rsidP="0024017D">
            <w:r w:rsidRPr="003C4F9A">
              <w:t>Personne physique</w:t>
            </w:r>
          </w:p>
        </w:tc>
        <w:tc>
          <w:tcPr>
            <w:tcW w:w="2337" w:type="dxa"/>
          </w:tcPr>
          <w:p w:rsidR="003C4F9A" w:rsidRDefault="003C4F9A" w:rsidP="0024017D">
            <w:r>
              <w:t>Autre que l’assuré</w:t>
            </w:r>
          </w:p>
        </w:tc>
        <w:tc>
          <w:tcPr>
            <w:tcW w:w="2338" w:type="dxa"/>
          </w:tcPr>
          <w:p w:rsidR="003C4F9A" w:rsidRDefault="003C4F9A" w:rsidP="0024017D">
            <w:r>
              <w:t>Oui</w:t>
            </w:r>
          </w:p>
        </w:tc>
        <w:tc>
          <w:tcPr>
            <w:tcW w:w="2338" w:type="dxa"/>
          </w:tcPr>
          <w:p w:rsidR="003C4F9A" w:rsidRDefault="003C4F9A" w:rsidP="0024017D">
            <w:r>
              <w:t>Liste à définir</w:t>
            </w:r>
          </w:p>
        </w:tc>
      </w:tr>
      <w:tr w:rsidR="003C4F9A" w:rsidTr="002C48B5">
        <w:trPr>
          <w:trHeight w:hRule="exact" w:val="284"/>
        </w:trPr>
        <w:tc>
          <w:tcPr>
            <w:tcW w:w="2337" w:type="dxa"/>
          </w:tcPr>
          <w:p w:rsidR="003C4F9A" w:rsidRDefault="003C4F9A" w:rsidP="003C4F9A">
            <w:r>
              <w:t>Personne morale</w:t>
            </w:r>
          </w:p>
        </w:tc>
        <w:tc>
          <w:tcPr>
            <w:tcW w:w="2337" w:type="dxa"/>
          </w:tcPr>
          <w:p w:rsidR="003C4F9A" w:rsidRDefault="003C4F9A" w:rsidP="003C4F9A">
            <w:r>
              <w:t>Représentant légal</w:t>
            </w:r>
          </w:p>
        </w:tc>
        <w:tc>
          <w:tcPr>
            <w:tcW w:w="2338" w:type="dxa"/>
          </w:tcPr>
          <w:p w:rsidR="003C4F9A" w:rsidRDefault="003C4F9A" w:rsidP="003C4F9A">
            <w:r>
              <w:t>Non</w:t>
            </w:r>
          </w:p>
        </w:tc>
        <w:tc>
          <w:tcPr>
            <w:tcW w:w="2338" w:type="dxa"/>
          </w:tcPr>
          <w:p w:rsidR="003C4F9A" w:rsidRDefault="003C4F9A" w:rsidP="003C4F9A">
            <w:r>
              <w:t>Tous</w:t>
            </w:r>
          </w:p>
        </w:tc>
      </w:tr>
      <w:tr w:rsidR="003C4F9A" w:rsidTr="002C48B5">
        <w:trPr>
          <w:trHeight w:hRule="exact" w:val="284"/>
        </w:trPr>
        <w:tc>
          <w:tcPr>
            <w:tcW w:w="2337" w:type="dxa"/>
          </w:tcPr>
          <w:p w:rsidR="003C4F9A" w:rsidRDefault="003C4F9A" w:rsidP="003C4F9A">
            <w:r>
              <w:t>Personne morale</w:t>
            </w:r>
          </w:p>
        </w:tc>
        <w:tc>
          <w:tcPr>
            <w:tcW w:w="2337" w:type="dxa"/>
          </w:tcPr>
          <w:p w:rsidR="003C4F9A" w:rsidRDefault="003C4F9A" w:rsidP="003C4F9A">
            <w:r>
              <w:t>Autre</w:t>
            </w:r>
          </w:p>
        </w:tc>
        <w:tc>
          <w:tcPr>
            <w:tcW w:w="2338" w:type="dxa"/>
          </w:tcPr>
          <w:p w:rsidR="003C4F9A" w:rsidRDefault="003C4F9A" w:rsidP="003C4F9A">
            <w:r>
              <w:t>Oui</w:t>
            </w:r>
          </w:p>
        </w:tc>
        <w:tc>
          <w:tcPr>
            <w:tcW w:w="2338" w:type="dxa"/>
          </w:tcPr>
          <w:p w:rsidR="003C4F9A" w:rsidRDefault="003C4F9A" w:rsidP="003C4F9A">
            <w:r>
              <w:t>Liste à définir</w:t>
            </w:r>
          </w:p>
        </w:tc>
      </w:tr>
    </w:tbl>
    <w:p w:rsidR="002C48B5" w:rsidRDefault="002C48B5" w:rsidP="003C4F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04040"/>
          <w:sz w:val="20"/>
          <w:szCs w:val="20"/>
        </w:rPr>
      </w:pPr>
    </w:p>
    <w:p w:rsidR="003C4F9A" w:rsidRDefault="003C4F9A" w:rsidP="003C4F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04040"/>
          <w:sz w:val="20"/>
          <w:szCs w:val="20"/>
        </w:rPr>
      </w:pPr>
      <w:r>
        <w:rPr>
          <w:rFonts w:ascii="Calibri" w:hAnsi="Calibri" w:cs="Calibri"/>
          <w:color w:val="404040"/>
          <w:sz w:val="20"/>
          <w:szCs w:val="20"/>
        </w:rPr>
        <w:t>La demande écrite doit éviter qu’une personne non autorisée puisse accéder à des données privées et confidentielles.</w:t>
      </w:r>
    </w:p>
    <w:p w:rsidR="002C48B5" w:rsidRDefault="002C48B5" w:rsidP="002C48B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eastAsia="Calibri" w:hAnsi="Calibri-Bold" w:cs="Calibri-Bold"/>
          <w:b/>
          <w:bCs/>
          <w:color w:val="B00000"/>
        </w:rPr>
      </w:pPr>
    </w:p>
    <w:p w:rsidR="003C4F9A" w:rsidRPr="003C4F9A" w:rsidRDefault="003C4F9A" w:rsidP="003C4F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Calibri-Bold" w:eastAsia="Calibri" w:hAnsi="Calibri-Bold" w:cs="Calibri-Bold"/>
          <w:b/>
          <w:bCs/>
          <w:color w:val="B00000"/>
        </w:rPr>
      </w:pPr>
      <w:r w:rsidRPr="003C4F9A">
        <w:rPr>
          <w:rFonts w:ascii="Calibri-Bold" w:eastAsia="Calibri" w:hAnsi="Calibri-Bold" w:cs="Calibri-Bold"/>
          <w:b/>
          <w:bCs/>
          <w:color w:val="B00000"/>
        </w:rPr>
        <w:t>Les données indispensables à prendre en considération pour une demande d’accès à l’Espace Client.</w:t>
      </w:r>
    </w:p>
    <w:p w:rsidR="003C4F9A" w:rsidRPr="003C4F9A" w:rsidRDefault="003C4F9A" w:rsidP="003C4F9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eastAsia="Calibri" w:hAnsi="Calibri-Bold" w:cs="Calibri-Bold"/>
          <w:b/>
          <w:bCs/>
          <w:color w:val="B00000"/>
        </w:rPr>
      </w:pPr>
    </w:p>
    <w:p w:rsidR="003C4F9A" w:rsidRPr="003C4F9A" w:rsidRDefault="003C4F9A" w:rsidP="003C4F9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eastAsia="Calibri" w:hAnsi="Calibri-Bold" w:cs="Calibri-Bold"/>
          <w:b/>
          <w:bCs/>
          <w:color w:val="B00000"/>
        </w:rPr>
      </w:pPr>
      <w:r w:rsidRPr="003C4F9A">
        <w:rPr>
          <w:rFonts w:ascii="Calibri-Bold" w:eastAsia="Calibri" w:hAnsi="Calibri-Bold" w:cs="Calibri-Bold"/>
          <w:b/>
          <w:bCs/>
          <w:color w:val="B00000"/>
        </w:rPr>
        <w:t>Prévoir un formulaire standard avec :</w:t>
      </w:r>
    </w:p>
    <w:p w:rsidR="003C4F9A" w:rsidRPr="003C4F9A" w:rsidRDefault="003C4F9A" w:rsidP="003C4F9A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alibri-Bold" w:eastAsia="Calibri" w:hAnsi="Calibri-Bold" w:cs="Calibri-Bold"/>
          <w:b/>
          <w:bCs/>
          <w:color w:val="B00000"/>
        </w:rPr>
      </w:pPr>
    </w:p>
    <w:p w:rsidR="003C4F9A" w:rsidRPr="003C4F9A" w:rsidRDefault="003C4F9A" w:rsidP="003C4F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Les données du demandeur (Nom/Prénom/ adresse/date de naissance)</w:t>
      </w:r>
    </w:p>
    <w:p w:rsidR="003C4F9A" w:rsidRPr="003C4F9A" w:rsidRDefault="003C4F9A" w:rsidP="003C4F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La date de la demande</w:t>
      </w:r>
    </w:p>
    <w:p w:rsidR="003C4F9A" w:rsidRPr="003C4F9A" w:rsidRDefault="003C4F9A" w:rsidP="003C4F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strike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L’adresse mail du demandeur (nécessaire pour activer l’accès)</w:t>
      </w:r>
    </w:p>
    <w:p w:rsidR="003C4F9A" w:rsidRPr="003C4F9A" w:rsidRDefault="003C4F9A" w:rsidP="003C4F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Les contrats impactés – visibles dans l’Espace Client (pour lesquels la consultation a été autorisée).</w:t>
      </w:r>
    </w:p>
    <w:p w:rsidR="003C4F9A" w:rsidRPr="003C4F9A" w:rsidRDefault="003C4F9A" w:rsidP="003C4F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Les personnes autres que le client : sont des observateurs</w:t>
      </w:r>
    </w:p>
    <w:p w:rsidR="003C4F9A" w:rsidRPr="003C4F9A" w:rsidRDefault="003C4F9A" w:rsidP="003C4F9A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Toujours besoins de l’accord écrit du client même.</w:t>
      </w:r>
    </w:p>
    <w:p w:rsidR="003C4F9A" w:rsidRPr="003C4F9A" w:rsidRDefault="003C4F9A" w:rsidP="003C4F9A">
      <w:pPr>
        <w:numPr>
          <w:ilvl w:val="1"/>
          <w:numId w:val="4"/>
        </w:numPr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Les données du ou des observateur(s) (Nom/Prénom/ adresse/date de naissance)</w:t>
      </w:r>
    </w:p>
    <w:p w:rsidR="003C4F9A" w:rsidRPr="003C4F9A" w:rsidRDefault="003C4F9A" w:rsidP="003C4F9A">
      <w:pPr>
        <w:numPr>
          <w:ilvl w:val="1"/>
          <w:numId w:val="4"/>
        </w:numPr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L’adresse mail du</w:t>
      </w:r>
      <w:r w:rsidRPr="003C4F9A">
        <w:rPr>
          <w:rFonts w:ascii="Calibri" w:eastAsia="Calibri" w:hAnsi="Calibri" w:cs="Times New Roman"/>
        </w:rPr>
        <w:t xml:space="preserve"> </w:t>
      </w:r>
      <w:r w:rsidRPr="003C4F9A">
        <w:rPr>
          <w:rFonts w:ascii="Calibri" w:eastAsia="Calibri" w:hAnsi="Calibri" w:cs="Calibri"/>
          <w:color w:val="404040"/>
          <w:sz w:val="20"/>
          <w:szCs w:val="20"/>
        </w:rPr>
        <w:t>ou des observateur(s) (nécessaire pour activer l’accès)</w:t>
      </w:r>
    </w:p>
    <w:p w:rsidR="003C4F9A" w:rsidRPr="003C4F9A" w:rsidRDefault="003C4F9A" w:rsidP="003C4F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Si le client est une personne morale:</w:t>
      </w:r>
    </w:p>
    <w:p w:rsidR="003C4F9A" w:rsidRPr="003C4F9A" w:rsidRDefault="003C4F9A" w:rsidP="003C4F9A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 xml:space="preserve">Toujours besoins de l’accord écrit d’un mandataire </w:t>
      </w:r>
      <w:proofErr w:type="gramStart"/>
      <w:r w:rsidRPr="003C4F9A">
        <w:rPr>
          <w:rFonts w:ascii="Calibri" w:eastAsia="Calibri" w:hAnsi="Calibri" w:cs="Calibri"/>
          <w:color w:val="404040"/>
          <w:sz w:val="20"/>
          <w:szCs w:val="20"/>
        </w:rPr>
        <w:t>légal  +</w:t>
      </w:r>
      <w:proofErr w:type="gramEnd"/>
      <w:r w:rsidRPr="003C4F9A">
        <w:rPr>
          <w:rFonts w:ascii="Calibri" w:eastAsia="Calibri" w:hAnsi="Calibri" w:cs="Calibri"/>
          <w:color w:val="404040"/>
          <w:sz w:val="20"/>
          <w:szCs w:val="20"/>
        </w:rPr>
        <w:t xml:space="preserve"> donnée du mandataire légal  (si l’accès est demandé pour une personne </w:t>
      </w:r>
      <w:r w:rsidR="002C48B5">
        <w:rPr>
          <w:rFonts w:ascii="Calibri" w:eastAsia="Calibri" w:hAnsi="Calibri" w:cs="Calibri"/>
          <w:color w:val="404040"/>
          <w:sz w:val="20"/>
          <w:szCs w:val="20"/>
        </w:rPr>
        <w:t>autre que le mandataire Lé</w:t>
      </w:r>
      <w:r w:rsidRPr="003C4F9A">
        <w:rPr>
          <w:rFonts w:ascii="Calibri" w:eastAsia="Calibri" w:hAnsi="Calibri" w:cs="Calibri"/>
          <w:color w:val="404040"/>
          <w:sz w:val="20"/>
          <w:szCs w:val="20"/>
        </w:rPr>
        <w:t>gal).</w:t>
      </w:r>
    </w:p>
    <w:p w:rsidR="003C4F9A" w:rsidRPr="003C4F9A" w:rsidRDefault="003C4F9A" w:rsidP="003C4F9A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Les données du ou des observateur(s) (Nom/Prénom/ adresse/date de naissance)</w:t>
      </w:r>
    </w:p>
    <w:p w:rsidR="003C4F9A" w:rsidRPr="003C4F9A" w:rsidRDefault="003C4F9A" w:rsidP="003C4F9A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contextualSpacing/>
        <w:rPr>
          <w:rFonts w:ascii="Calibri" w:eastAsia="Calibri" w:hAnsi="Calibri" w:cs="Calibri"/>
          <w:color w:val="404040"/>
          <w:sz w:val="20"/>
          <w:szCs w:val="20"/>
        </w:rPr>
      </w:pPr>
      <w:r w:rsidRPr="003C4F9A">
        <w:rPr>
          <w:rFonts w:ascii="Calibri" w:eastAsia="Calibri" w:hAnsi="Calibri" w:cs="Calibri"/>
          <w:color w:val="404040"/>
          <w:sz w:val="20"/>
          <w:szCs w:val="20"/>
        </w:rPr>
        <w:t>L’adresse mail du ou des observateur(s) (nécessaire pour activer l’accès)</w:t>
      </w:r>
    </w:p>
    <w:p w:rsidR="003C4F9A" w:rsidRDefault="003C4F9A" w:rsidP="0024017D"/>
    <w:p w:rsidR="002C48B5" w:rsidRDefault="002C48B5" w:rsidP="002C48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B00000"/>
        </w:rPr>
      </w:pPr>
      <w:r w:rsidRPr="00485C17">
        <w:rPr>
          <w:rFonts w:ascii="Calibri-Bold" w:hAnsi="Calibri-Bold" w:cs="Calibri-Bold"/>
          <w:b/>
          <w:bCs/>
          <w:color w:val="B00000"/>
        </w:rPr>
        <w:t>Et ensuite</w:t>
      </w:r>
    </w:p>
    <w:p w:rsidR="002C48B5" w:rsidRDefault="002C48B5" w:rsidP="002C48B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B00000"/>
        </w:rPr>
      </w:pPr>
    </w:p>
    <w:p w:rsidR="002C48B5" w:rsidRPr="002E412C" w:rsidRDefault="002C48B5" w:rsidP="002C48B5">
      <w:pPr>
        <w:pStyle w:val="ListParagraph"/>
        <w:autoSpaceDE w:val="0"/>
        <w:autoSpaceDN w:val="0"/>
        <w:adjustRightInd w:val="0"/>
        <w:spacing w:after="0" w:line="240" w:lineRule="auto"/>
        <w:rPr>
          <w:rFonts w:cs="Calibri-Bold"/>
          <w:bCs/>
          <w:sz w:val="20"/>
          <w:szCs w:val="20"/>
        </w:rPr>
      </w:pPr>
    </w:p>
    <w:p w:rsidR="002C48B5" w:rsidRDefault="002C48B5" w:rsidP="002C48B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04040"/>
          <w:sz w:val="20"/>
          <w:szCs w:val="20"/>
        </w:rPr>
      </w:pPr>
      <w:r>
        <w:rPr>
          <w:rFonts w:ascii="Calibri" w:hAnsi="Calibri" w:cs="Calibri"/>
          <w:color w:val="404040"/>
          <w:sz w:val="20"/>
          <w:szCs w:val="20"/>
        </w:rPr>
        <w:t>Donner l’accès au client ou à son observateur.</w:t>
      </w:r>
    </w:p>
    <w:p w:rsidR="002C48B5" w:rsidRDefault="002C48B5" w:rsidP="002C48B5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404040"/>
          <w:sz w:val="20"/>
          <w:szCs w:val="20"/>
        </w:rPr>
      </w:pPr>
    </w:p>
    <w:p w:rsidR="002C48B5" w:rsidRDefault="002C48B5" w:rsidP="002C48B5">
      <w:pPr>
        <w:pStyle w:val="ListParagraph"/>
        <w:autoSpaceDE w:val="0"/>
        <w:autoSpaceDN w:val="0"/>
        <w:adjustRightInd w:val="0"/>
        <w:spacing w:after="0" w:line="240" w:lineRule="auto"/>
      </w:pPr>
      <w:r>
        <w:rPr>
          <w:rFonts w:ascii="Calibri" w:hAnsi="Calibri" w:cs="Calibri"/>
          <w:color w:val="404040"/>
          <w:sz w:val="20"/>
          <w:szCs w:val="20"/>
        </w:rPr>
        <w:lastRenderedPageBreak/>
        <w:t xml:space="preserve">Rendre visible le formulaire dans l’Espace Client afin qu’il puisse à tout moment le consulter et vérifier si les accès sont bien </w:t>
      </w:r>
      <w:proofErr w:type="gramStart"/>
      <w:r>
        <w:rPr>
          <w:rFonts w:ascii="Calibri" w:hAnsi="Calibri" w:cs="Calibri"/>
          <w:color w:val="404040"/>
          <w:sz w:val="20"/>
          <w:szCs w:val="20"/>
        </w:rPr>
        <w:t>conforme</w:t>
      </w:r>
      <w:proofErr w:type="gramEnd"/>
      <w:r>
        <w:rPr>
          <w:rFonts w:ascii="Calibri" w:hAnsi="Calibri" w:cs="Calibri"/>
          <w:color w:val="404040"/>
          <w:sz w:val="20"/>
          <w:szCs w:val="20"/>
        </w:rPr>
        <w:t xml:space="preserve"> à s</w:t>
      </w:r>
      <w:bookmarkStart w:id="0" w:name="_GoBack"/>
      <w:bookmarkEnd w:id="0"/>
      <w:r>
        <w:rPr>
          <w:rFonts w:ascii="Calibri" w:hAnsi="Calibri" w:cs="Calibri"/>
          <w:color w:val="404040"/>
          <w:sz w:val="20"/>
          <w:szCs w:val="20"/>
        </w:rPr>
        <w:t>a demande (pour les contrats en cours ou futurs).</w:t>
      </w:r>
    </w:p>
    <w:sectPr w:rsidR="002C48B5" w:rsidSect="002C48B5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92820"/>
    <w:multiLevelType w:val="hybridMultilevel"/>
    <w:tmpl w:val="9FA64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E0418"/>
    <w:multiLevelType w:val="hybridMultilevel"/>
    <w:tmpl w:val="03B47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87F86"/>
    <w:multiLevelType w:val="hybridMultilevel"/>
    <w:tmpl w:val="6C00D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47B02"/>
    <w:multiLevelType w:val="hybridMultilevel"/>
    <w:tmpl w:val="A64299FC"/>
    <w:lvl w:ilvl="0" w:tplc="08C83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7D"/>
    <w:rsid w:val="0024017D"/>
    <w:rsid w:val="002C48B5"/>
    <w:rsid w:val="003C4F9A"/>
    <w:rsid w:val="005778C8"/>
    <w:rsid w:val="00706111"/>
    <w:rsid w:val="008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879F9A"/>
  <w15:chartTrackingRefBased/>
  <w15:docId w15:val="{4D975DEE-F2D7-424A-A1C9-5C709516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17D"/>
    <w:pPr>
      <w:spacing w:after="200" w:line="276" w:lineRule="auto"/>
    </w:pPr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17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01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01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017D"/>
    <w:rPr>
      <w:sz w:val="20"/>
      <w:szCs w:val="20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17D"/>
    <w:rPr>
      <w:rFonts w:ascii="Segoe UI" w:hAnsi="Segoe UI" w:cs="Segoe UI"/>
      <w:sz w:val="18"/>
      <w:szCs w:val="18"/>
      <w:lang w:val="fr-BE"/>
    </w:rPr>
  </w:style>
  <w:style w:type="table" w:styleId="TableGrid">
    <w:name w:val="Table Grid"/>
    <w:basedOn w:val="TableNormal"/>
    <w:uiPriority w:val="39"/>
    <w:rsid w:val="003C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 Insurance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Lambrecht Patrick</dc:creator>
  <cp:keywords/>
  <dc:description/>
  <cp:lastModifiedBy>Administrator</cp:lastModifiedBy>
  <cp:revision>3</cp:revision>
  <dcterms:created xsi:type="dcterms:W3CDTF">2017-12-05T07:45:00Z</dcterms:created>
  <dcterms:modified xsi:type="dcterms:W3CDTF">2018-01-10T11:00:00Z</dcterms:modified>
</cp:coreProperties>
</file>